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center"/>
      </w:pPr>
      <w:r>
        <w:t xml:space="preserve">TESES PARA FIXAÇÃO PELO SEMINÁRIO DE GRANDES SECRETÁRIOS DE RELAÇÕES EXTERIORES</w:t>
      </w:r>
    </w:p>
    <w:p>
      <w:pPr>
        <w:spacing w:after="60"/>
        <w:jc w:val="center"/>
      </w:pPr>
      <w:r>
        <w:rPr>
          <w:b/>
          <w:bCs/>
          <w:sz w:val="24"/>
          <w:szCs w:val="24"/>
        </w:rPr>
        <w:t xml:space="preserve">Confederação da Maçonaria Simbólica do Brasil (CMSB)</w:t>
      </w:r>
    </w:p>
    <w:p>
      <w:pPr>
        <w:spacing w:after="300"/>
        <w:jc w:val="center"/>
      </w:pPr>
      <w:r>
        <w:rPr>
          <w:i/>
          <w:iCs/>
          <w:sz w:val="20"/>
          <w:szCs w:val="20"/>
        </w:rPr>
        <w:t xml:space="preserve">Com fundamento no Art. 3º, incisos I, II e VIII, do Regimento Interno</w:t>
      </w:r>
    </w:p>
    <w:p>
      <w:pPr>
        <w:pStyle w:val="Heading1"/>
        <w:pBdr>
          <w:bottom w:val="single" w:color="1F3864" w:sz="6"/>
        </w:pBdr>
        <w:spacing w:after="120" w:before="360"/>
      </w:pPr>
      <w:r>
        <w:t xml:space="preserve">TESE Nº 1 — Dos requisitos para a celebração de Tratado de Reconhecimento Mútuo</w:t>
      </w:r>
    </w:p>
    <w:p>
      <w:pPr>
        <w:spacing w:after="60" w:before="160"/>
      </w:pPr>
      <w:r>
        <w:rPr>
          <w:b/>
          <w:bCs/>
          <w:i/>
          <w:iCs/>
          <w:sz w:val="22"/>
          <w:szCs w:val="22"/>
        </w:rPr>
        <w:t xml:space="preserve">Ementa</w:t>
      </w:r>
    </w:p>
    <w:p>
      <w:pPr>
        <w:spacing w:after="120"/>
        <w:jc w:val="both"/>
      </w:pPr>
      <w:r>
        <w:rPr>
          <w:sz w:val="22"/>
          <w:szCs w:val="22"/>
        </w:rPr>
        <w:t xml:space="preserve">Fixa os requisitos objetivos e cumulativos que devem ser observados pelas Confederadas da CMSB para a celebração de Tratado de Reconhecimento Mútuo com Potências Maçônicas nacionais ou estrangeiras.</w:t>
      </w:r>
    </w:p>
    <w:p>
      <w:pPr>
        <w:spacing w:after="60" w:before="160"/>
      </w:pPr>
      <w:r>
        <w:rPr>
          <w:b/>
          <w:bCs/>
          <w:i/>
          <w:iCs/>
          <w:sz w:val="22"/>
          <w:szCs w:val="22"/>
        </w:rPr>
        <w:t xml:space="preserve">Justificativa</w:t>
      </w:r>
    </w:p>
    <w:p>
      <w:pPr>
        <w:spacing w:after="120"/>
        <w:jc w:val="both"/>
      </w:pPr>
      <w:r>
        <w:rPr>
          <w:sz w:val="22"/>
          <w:szCs w:val="22"/>
        </w:rPr>
        <w:t xml:space="preserve">O reconhecimento mútuo é ato de soberania de cada Potência, mas, para resguardar a unidade doutrinária e a segurança institucional da CMSB e de suas Confederadas, é necessário fixar requisitos mínimos e objetivos, uniformemente aplicáveis, que antecedam qualquer celebração de tratado, evitando reconhecimentos precipitados, políticos ou desprovidos de análise técnica prévia do Seminário.</w:t>
      </w:r>
    </w:p>
    <w:p>
      <w:pPr>
        <w:spacing w:after="60" w:before="160"/>
      </w:pPr>
      <w:r>
        <w:rPr>
          <w:b/>
          <w:bCs/>
          <w:i/>
          <w:iCs/>
          <w:sz w:val="22"/>
          <w:szCs w:val="22"/>
        </w:rPr>
        <w:t xml:space="preserve">Tese</w:t>
      </w:r>
    </w:p>
    <w:p>
      <w:pPr>
        <w:spacing w:after="120"/>
        <w:jc w:val="both"/>
      </w:pPr>
      <w:r>
        <w:rPr>
          <w:sz w:val="22"/>
          <w:szCs w:val="22"/>
        </w:rPr>
        <w:t xml:space="preserve">Fica fixado que a celebração de Tratado de Reconhecimento Mútuo entre Confederada da CMSB e Potência Maçônica nacional ou estrangeira pressupõe, cumulativamente:</w:t>
      </w:r>
    </w:p>
    <w:p>
      <w:pPr>
        <w:pStyle w:val="ListParagraph"/>
        <w:numPr>
          <w:ilvl w:val="0"/>
          <w:numId w:val="2"/>
        </w:numPr>
        <w:spacing w:after="100"/>
        <w:jc w:val="both"/>
      </w:pPr>
      <w:r>
        <w:rPr>
          <w:sz w:val="22"/>
          <w:szCs w:val="22"/>
        </w:rPr>
        <w:t xml:space="preserve">Regularidade prévia e comprovada da Potência pretendente, nos termos dos critérios de regularidade fixados na Tese nº 2 deste Seminário;</w:t>
      </w:r>
    </w:p>
    <w:p>
      <w:pPr>
        <w:pStyle w:val="ListParagraph"/>
        <w:numPr>
          <w:ilvl w:val="0"/>
          <w:numId w:val="2"/>
        </w:numPr>
        <w:spacing w:after="100"/>
        <w:jc w:val="both"/>
      </w:pPr>
      <w:r>
        <w:rPr>
          <w:sz w:val="22"/>
          <w:szCs w:val="22"/>
        </w:rPr>
        <w:t xml:space="preserve">Exclusividade e definição territorial de jurisdição, não se admitindo tratado com Potência que dispute ou sobreponha jurisdição territorial já exercida por outra Potência já reconhecida pela CMSB ou por suas Confederadas, salvo se saneada a controvérsia;</w:t>
      </w:r>
    </w:p>
    <w:p>
      <w:pPr>
        <w:pStyle w:val="ListParagraph"/>
        <w:numPr>
          <w:ilvl w:val="0"/>
          <w:numId w:val="2"/>
        </w:numPr>
        <w:spacing w:after="100"/>
        <w:jc w:val="both"/>
      </w:pPr>
      <w:r>
        <w:rPr>
          <w:sz w:val="22"/>
          <w:szCs w:val="22"/>
        </w:rPr>
        <w:t xml:space="preserve">Parecer técnico prévio do Grande Secretário de Relações Exteriores da Confederada interessada, submetido à análise do Seminário, com manifestação fundamentada sobre o preenchimento dos requisitos de regularidade;</w:t>
      </w:r>
    </w:p>
    <w:p>
      <w:pPr>
        <w:pStyle w:val="ListParagraph"/>
        <w:numPr>
          <w:ilvl w:val="0"/>
          <w:numId w:val="2"/>
        </w:numPr>
        <w:spacing w:after="100"/>
        <w:jc w:val="both"/>
      </w:pPr>
      <w:r>
        <w:rPr>
          <w:sz w:val="22"/>
          <w:szCs w:val="22"/>
        </w:rPr>
        <w:t xml:space="preserve">Instrução documental mínima, compreendendo: estatuto ou constituição vigente da Potência pretendente, relação de Lojas e efetivo jurisdicionado, histórico de fundação e regularização, e relação de tratados de reconhecimento já mantidos por ela com outras Potências regulares;</w:t>
      </w:r>
    </w:p>
    <w:p>
      <w:pPr>
        <w:pStyle w:val="ListParagraph"/>
        <w:numPr>
          <w:ilvl w:val="0"/>
          <w:numId w:val="2"/>
        </w:numPr>
        <w:spacing w:after="100"/>
        <w:jc w:val="both"/>
      </w:pPr>
      <w:r>
        <w:rPr>
          <w:sz w:val="22"/>
          <w:szCs w:val="22"/>
        </w:rPr>
        <w:t xml:space="preserve">Deliberação em Assembleia de Grão-Mestres, à qual compete a aprovação final do tratado, após manifestação do Seminário, resguardados os princípios da soberania, independência e autonomia de cada Confederada, nos termos do Art. 3º, V, do Regimento Interno;</w:t>
      </w:r>
    </w:p>
    <w:p>
      <w:pPr>
        <w:pStyle w:val="ListParagraph"/>
        <w:numPr>
          <w:ilvl w:val="0"/>
          <w:numId w:val="2"/>
        </w:numPr>
        <w:spacing w:after="100"/>
        <w:jc w:val="both"/>
      </w:pPr>
      <w:r>
        <w:rPr>
          <w:sz w:val="22"/>
          <w:szCs w:val="22"/>
        </w:rPr>
        <w:t xml:space="preserve">Formalização por instrumento escrito, assinado pelas autoridades competentes de ambas as Potências, do qual constem expressamente o objeto, o alcance e as condições de vigência, suspensão e denúncia do reconhecimento.</w:t>
      </w:r>
    </w:p>
    <w:p>
      <w:pPr>
        <w:shd w:fill="F2F2F2" w:val="clear"/>
        <w:spacing w:after="200" w:before="100"/>
        <w:jc w:val="both"/>
      </w:pPr>
      <w:r>
        <w:rPr>
          <w:b/>
          <w:bCs/>
          <w:i/>
          <w:iCs/>
          <w:sz w:val="22"/>
          <w:szCs w:val="22"/>
        </w:rPr>
        <w:t xml:space="preserve">Encaminhamento: </w:t>
      </w:r>
      <w:r>
        <w:rPr>
          <w:i/>
          <w:iCs/>
          <w:sz w:val="22"/>
          <w:szCs w:val="22"/>
        </w:rPr>
        <w:t xml:space="preserve">que a presente tese seja fixada pelo Seminário e submetida à Assembleia de Grão-Mestres para aprovação, nos termos do Art. 3º, VII, do Regimento Interno.</w:t>
      </w:r>
    </w:p>
    <w:p>
      <w:pPr>
        <w:pBdr>
          <w:bottom w:val="single" w:color="999999" w:sz="4"/>
        </w:pBdr>
        <w:spacing w:after="200" w:before="200"/>
      </w:pPr>
    </w:p>
    <w:p>
      <w:pPr>
        <w:pStyle w:val="Heading1"/>
        <w:pBdr>
          <w:bottom w:val="single" w:color="1F3864" w:sz="6"/>
        </w:pBdr>
        <w:spacing w:after="120" w:before="360"/>
      </w:pPr>
      <w:r>
        <w:t xml:space="preserve">TESE Nº 2 — Dos critérios de regularidade maçônica</w:t>
      </w:r>
    </w:p>
    <w:p>
      <w:pPr>
        <w:spacing w:after="60" w:before="160"/>
      </w:pPr>
      <w:r>
        <w:rPr>
          <w:b/>
          <w:bCs/>
          <w:i/>
          <w:iCs/>
          <w:sz w:val="22"/>
          <w:szCs w:val="22"/>
        </w:rPr>
        <w:t xml:space="preserve">Ementa</w:t>
      </w:r>
    </w:p>
    <w:p>
      <w:pPr>
        <w:spacing w:after="120"/>
        <w:jc w:val="both"/>
      </w:pPr>
      <w:r>
        <w:rPr>
          <w:sz w:val="22"/>
          <w:szCs w:val="22"/>
        </w:rPr>
        <w:t xml:space="preserve">Fixa os critérios objetivos de regularidade maçônica a serem observados pelo Seminário na análise de que trata o Art. 3º, I, do Regimento Interno, para fins de reconhecimento de Potências.</w:t>
      </w:r>
    </w:p>
    <w:p>
      <w:pPr>
        <w:spacing w:after="60" w:before="160"/>
      </w:pPr>
      <w:r>
        <w:rPr>
          <w:b/>
          <w:bCs/>
          <w:i/>
          <w:iCs/>
          <w:sz w:val="22"/>
          <w:szCs w:val="22"/>
        </w:rPr>
        <w:t xml:space="preserve">Justificativa</w:t>
      </w:r>
    </w:p>
    <w:p>
      <w:pPr>
        <w:spacing w:after="120"/>
        <w:jc w:val="both"/>
      </w:pPr>
      <w:r>
        <w:rPr>
          <w:sz w:val="22"/>
          <w:szCs w:val="22"/>
        </w:rPr>
        <w:t xml:space="preserve">A ausência de critérios objetivos e uniformes de regularidade compromete a análise técnica do Seminário e expõe as Confederadas ao risco de reconhecimento de Potências irregulares ou de duvidosa origem. Cabe, portanto, fixar critérios claros, alinhados à tradição maçônica universalmente reconhecida pelas Potências regulares.</w:t>
      </w:r>
    </w:p>
    <w:p>
      <w:pPr>
        <w:spacing w:after="60" w:before="160"/>
      </w:pPr>
      <w:r>
        <w:rPr>
          <w:b/>
          <w:bCs/>
          <w:i/>
          <w:iCs/>
          <w:sz w:val="22"/>
          <w:szCs w:val="22"/>
        </w:rPr>
        <w:t xml:space="preserve">Tese</w:t>
      </w:r>
    </w:p>
    <w:p>
      <w:pPr>
        <w:spacing w:after="120"/>
        <w:jc w:val="both"/>
      </w:pPr>
      <w:r>
        <w:rPr>
          <w:sz w:val="22"/>
          <w:szCs w:val="22"/>
        </w:rPr>
        <w:t xml:space="preserve">Será considerada regular, para fins de reconhecimento pelas Confederadas da CMSB, a Potência Maçônica que comprove, cumulativamente:</w:t>
      </w:r>
    </w:p>
    <w:p>
      <w:pPr>
        <w:pStyle w:val="ListParagraph"/>
        <w:numPr>
          <w:ilvl w:val="0"/>
          <w:numId w:val="2"/>
        </w:numPr>
        <w:spacing w:after="100"/>
        <w:jc w:val="both"/>
      </w:pPr>
      <w:r>
        <w:rPr>
          <w:sz w:val="22"/>
          <w:szCs w:val="22"/>
        </w:rPr>
        <w:t xml:space="preserve">Origem regular, isto é, fundação por Potência já reconhecida como regular, mediante Carta Constitutiva ou Patente válida, com cadeia de regularidade demonstrável;</w:t>
      </w:r>
    </w:p>
    <w:p>
      <w:pPr>
        <w:pStyle w:val="ListParagraph"/>
        <w:numPr>
          <w:ilvl w:val="0"/>
          <w:numId w:val="2"/>
        </w:numPr>
        <w:spacing w:after="100"/>
        <w:jc w:val="both"/>
      </w:pPr>
      <w:r>
        <w:rPr>
          <w:sz w:val="22"/>
          <w:szCs w:val="22"/>
        </w:rPr>
        <w:t xml:space="preserve">Crença no Grande Arquiteto do Universo como princípio basilar e obrigatório para a iniciação e permanência de seus membros;</w:t>
      </w:r>
    </w:p>
    <w:p>
      <w:pPr>
        <w:pStyle w:val="ListParagraph"/>
        <w:numPr>
          <w:ilvl w:val="0"/>
          <w:numId w:val="2"/>
        </w:numPr>
        <w:spacing w:after="100"/>
        <w:jc w:val="both"/>
      </w:pPr>
      <w:r>
        <w:rPr>
          <w:sz w:val="22"/>
          <w:szCs w:val="22"/>
        </w:rPr>
        <w:t xml:space="preserve">Presença e abertura do Volume da Lei Sagrada sobre o altar durante os trabalhos, como um dos Grandes Luzes da Maçonaria;</w:t>
      </w:r>
    </w:p>
    <w:p>
      <w:pPr>
        <w:pStyle w:val="ListParagraph"/>
        <w:numPr>
          <w:ilvl w:val="0"/>
          <w:numId w:val="2"/>
        </w:numPr>
        <w:spacing w:after="100"/>
        <w:jc w:val="both"/>
      </w:pPr>
      <w:r>
        <w:rPr>
          <w:sz w:val="22"/>
          <w:szCs w:val="22"/>
        </w:rPr>
        <w:t xml:space="preserve">Vedação à discussão de religião e política no interior dos templos e nos trabalhos maçônicos;</w:t>
      </w:r>
    </w:p>
    <w:p>
      <w:pPr>
        <w:pStyle w:val="ListParagraph"/>
        <w:numPr>
          <w:ilvl w:val="0"/>
          <w:numId w:val="2"/>
        </w:numPr>
        <w:spacing w:after="100"/>
        <w:jc w:val="both"/>
      </w:pPr>
      <w:r>
        <w:rPr>
          <w:sz w:val="22"/>
          <w:szCs w:val="22"/>
        </w:rPr>
        <w:t xml:space="preserve">Admissão exclusiva de homens, livres e de bons costumes, maiores e capazes, nos termos da tradição da Maçonaria simbólica;</w:t>
      </w:r>
    </w:p>
    <w:p>
      <w:pPr>
        <w:pStyle w:val="ListParagraph"/>
        <w:numPr>
          <w:ilvl w:val="0"/>
          <w:numId w:val="2"/>
        </w:numPr>
        <w:spacing w:after="100"/>
        <w:jc w:val="both"/>
      </w:pPr>
      <w:r>
        <w:rPr>
          <w:sz w:val="22"/>
          <w:szCs w:val="22"/>
        </w:rPr>
        <w:t xml:space="preserve">Observância dos Antigos Limites (Landmarks) e dos usos e costumes tradicionais da Ordem, notadamente os relativos aos três graus simbólicos (Aprendiz, Companheiro e Mestre);</w:t>
      </w:r>
    </w:p>
    <w:p>
      <w:pPr>
        <w:pStyle w:val="ListParagraph"/>
        <w:numPr>
          <w:ilvl w:val="0"/>
          <w:numId w:val="2"/>
        </w:numPr>
        <w:spacing w:after="100"/>
        <w:jc w:val="both"/>
      </w:pPr>
      <w:r>
        <w:rPr>
          <w:sz w:val="22"/>
          <w:szCs w:val="22"/>
        </w:rPr>
        <w:t xml:space="preserve">Exercício de jurisdição exclusiva sobre as Lojas simbólicas em seu território, não se admitindo mais de uma Potência regular exercendo jurisdição concorrente sobre o mesmo território, salvo tratado específico que discipline a convivência;</w:t>
      </w:r>
    </w:p>
    <w:p>
      <w:pPr>
        <w:pStyle w:val="ListParagraph"/>
        <w:numPr>
          <w:ilvl w:val="0"/>
          <w:numId w:val="2"/>
        </w:numPr>
        <w:spacing w:after="100"/>
        <w:jc w:val="both"/>
      </w:pPr>
      <w:r>
        <w:rPr>
          <w:sz w:val="22"/>
          <w:szCs w:val="22"/>
        </w:rPr>
        <w:t xml:space="preserve">Constituição e funcionamento regulares, com Estatuto próprio, corpo diretivo eleito e Lojas ativas e devidamente registradas;</w:t>
      </w:r>
    </w:p>
    <w:p>
      <w:pPr>
        <w:pStyle w:val="ListParagraph"/>
        <w:numPr>
          <w:ilvl w:val="0"/>
          <w:numId w:val="2"/>
        </w:numPr>
        <w:spacing w:after="100"/>
        <w:jc w:val="both"/>
      </w:pPr>
      <w:r>
        <w:rPr>
          <w:sz w:val="22"/>
          <w:szCs w:val="22"/>
        </w:rPr>
        <w:t xml:space="preserve">Idoneidade e continuidade administrativa, comprovada pela manutenção de registros, atas e arquivos organizados, aptos a subsidiar a análise do Seminário.</w:t>
      </w:r>
    </w:p>
    <w:p>
      <w:pPr>
        <w:shd w:fill="F2F2F2" w:val="clear"/>
        <w:spacing w:after="200" w:before="100"/>
        <w:jc w:val="both"/>
      </w:pPr>
      <w:r>
        <w:rPr>
          <w:b/>
          <w:bCs/>
          <w:i/>
          <w:iCs/>
          <w:sz w:val="22"/>
          <w:szCs w:val="22"/>
        </w:rPr>
        <w:t xml:space="preserve">Encaminhamento: </w:t>
      </w:r>
      <w:r>
        <w:rPr>
          <w:i/>
          <w:iCs/>
          <w:sz w:val="22"/>
          <w:szCs w:val="22"/>
        </w:rPr>
        <w:t xml:space="preserve">que a presente tese seja fixada pelo Seminário como parâmetro técnico obrigatório para toda análise de regularidade referida no Art. 3º, I, do Regimento Interno, e submetida à Assembleia de Grão-Mestres para aprovação.</w:t>
      </w:r>
    </w:p>
    <w:p>
      <w:pPr>
        <w:pBdr>
          <w:bottom w:val="single" w:color="999999" w:sz="4"/>
        </w:pBdr>
        <w:spacing w:after="200" w:before="200"/>
      </w:pPr>
    </w:p>
    <w:p>
      <w:pPr>
        <w:pStyle w:val="Heading1"/>
        <w:pBdr>
          <w:bottom w:val="single" w:color="1F3864" w:sz="6"/>
        </w:pBdr>
        <w:spacing w:after="120" w:before="360"/>
      </w:pPr>
      <w:r>
        <w:t xml:space="preserve">TESE Nº 3 — Da inexistência de tratado tácito ou de reconhecimento parcial ("meio tratado")</w:t>
      </w:r>
    </w:p>
    <w:p>
      <w:pPr>
        <w:spacing w:after="60" w:before="160"/>
      </w:pPr>
      <w:r>
        <w:rPr>
          <w:b/>
          <w:bCs/>
          <w:i/>
          <w:iCs/>
          <w:sz w:val="22"/>
          <w:szCs w:val="22"/>
        </w:rPr>
        <w:t xml:space="preserve">Ementa</w:t>
      </w:r>
    </w:p>
    <w:p>
      <w:pPr>
        <w:spacing w:after="120"/>
        <w:jc w:val="both"/>
      </w:pPr>
      <w:r>
        <w:rPr>
          <w:sz w:val="22"/>
          <w:szCs w:val="22"/>
        </w:rPr>
        <w:t xml:space="preserve">Fixa entendimento vinculante no sentido de que não existem, no âmbito da CMSB e de suas Confederadas, tratados de reconhecimento mútuo tácitos, presumidos ou parciais, sendo o reconhecimento ato formal, expresso e integral.</w:t>
      </w:r>
    </w:p>
    <w:p>
      <w:pPr>
        <w:spacing w:after="60" w:before="160"/>
      </w:pPr>
      <w:r>
        <w:rPr>
          <w:b/>
          <w:bCs/>
          <w:i/>
          <w:iCs/>
          <w:sz w:val="22"/>
          <w:szCs w:val="22"/>
        </w:rPr>
        <w:t xml:space="preserve">Justificativa</w:t>
      </w:r>
    </w:p>
    <w:p>
      <w:pPr>
        <w:spacing w:after="120"/>
        <w:jc w:val="both"/>
      </w:pPr>
      <w:r>
        <w:rPr>
          <w:sz w:val="22"/>
          <w:szCs w:val="22"/>
        </w:rPr>
        <w:t xml:space="preserve">A prática maçônica revela, por vezes, situações de fato — intervisitação tolerada, comunicação informal, participação em eventos conjuntos — que são equivocadamente interpretadas como indício de reconhecimento mútuo, ainda que inexistente tratado formal ou não preenchidos os requisitos de regularidade fixados na Tese nº 2. É necessário, portanto, afastar de forma expressa e definitiva qualquer efeito jurídico-maçônico de tais situações de fato, resguardando a segurança institucional das Confederadas.</w:t>
      </w:r>
    </w:p>
    <w:p>
      <w:pPr>
        <w:spacing w:after="60" w:before="160"/>
      </w:pPr>
      <w:r>
        <w:rPr>
          <w:b/>
          <w:bCs/>
          <w:i/>
          <w:iCs/>
          <w:sz w:val="22"/>
          <w:szCs w:val="22"/>
        </w:rPr>
        <w:t xml:space="preserve">Tese</w:t>
      </w:r>
    </w:p>
    <w:p>
      <w:pPr>
        <w:spacing w:after="120"/>
        <w:jc w:val="both"/>
      </w:pPr>
      <w:r>
        <w:rPr>
          <w:b/>
          <w:bCs/>
          <w:sz w:val="22"/>
          <w:szCs w:val="22"/>
        </w:rPr>
        <w:t xml:space="preserve">1. Não existe tratado tácito. </w:t>
      </w:r>
      <w:r>
        <w:rPr>
          <w:sz w:val="22"/>
          <w:szCs w:val="22"/>
        </w:rPr>
        <w:t xml:space="preserve">O reconhecimento mútuo entre Potências Maçônicas é ato formal e solene, que somente se aperfeiçoa mediante instrumento escrito, subscrito pelas autoridades competentes, precedido da análise técnica do Seminário e aprovado pela Assembleia de Grão-Mestres, nos termos das Teses nºs 1 e 2. Nenhuma conduta, tolerância, omissão, silêncio ou prática reiterada gera reconhecimento presumido.</w:t>
      </w:r>
    </w:p>
    <w:p>
      <w:pPr>
        <w:spacing w:after="120"/>
        <w:jc w:val="both"/>
      </w:pPr>
      <w:r>
        <w:rPr>
          <w:b/>
          <w:bCs/>
          <w:sz w:val="22"/>
          <w:szCs w:val="22"/>
        </w:rPr>
        <w:t xml:space="preserve">2. Não existe "meio tratado" ou reconhecimento parcial. </w:t>
      </w:r>
      <w:r>
        <w:rPr>
          <w:sz w:val="22"/>
          <w:szCs w:val="22"/>
        </w:rPr>
        <w:t xml:space="preserve">O reconhecimento é ato uno e indivisível. Não se admite reconhecimento fracionado por finalidade específica (ex.: apenas para intervisitação, apenas para eventos sociais, apenas para determinada Loja ou região), tampouco reconhecimento condicional que subsista independentemente do preenchimento simultâneo de todos os requisitos de regularidade.</w:t>
      </w:r>
    </w:p>
    <w:p>
      <w:pPr>
        <w:spacing w:after="120"/>
        <w:jc w:val="both"/>
      </w:pPr>
      <w:r>
        <w:rPr>
          <w:b/>
          <w:bCs/>
          <w:sz w:val="22"/>
          <w:szCs w:val="22"/>
        </w:rPr>
        <w:t xml:space="preserve">3. Inexistência de tratado com Potência irregular. </w:t>
      </w:r>
      <w:r>
        <w:rPr>
          <w:sz w:val="22"/>
          <w:szCs w:val="22"/>
        </w:rPr>
        <w:t xml:space="preserve">É juridicamente inexistente, para todos os efeitos maçônicos, qualquer tratado, ajuste, protocolo ou compromisso — ainda que formalmente celebrado — com Potência que não preencha, cumulativamente, os critérios de regularidade fixados na Tese nº 2, sendo nulo de pleno direito, independentemente de declaração expressa, não gerando direitos de intervisitação, transferência, ou qualquer outro efeito perante as Confederadas da CMSB.</w:t>
      </w:r>
    </w:p>
    <w:p>
      <w:pPr>
        <w:spacing w:after="120"/>
        <w:jc w:val="both"/>
      </w:pPr>
      <w:r>
        <w:rPr>
          <w:b/>
          <w:bCs/>
          <w:sz w:val="22"/>
          <w:szCs w:val="22"/>
        </w:rPr>
        <w:t xml:space="preserve">4. Vedação de efeitos por atos de fato. </w:t>
      </w:r>
      <w:r>
        <w:rPr>
          <w:sz w:val="22"/>
          <w:szCs w:val="22"/>
        </w:rPr>
        <w:t xml:space="preserve">Atos de cortesia, hospitalidade eventual ou presença de representantes em eventos não constituem reconhecimento, nem geram para a Potência convidada ou seus membros qualquer direito de intervisitação regular ou presunção de regularidade.</w:t>
      </w:r>
    </w:p>
    <w:p>
      <w:pPr>
        <w:spacing w:after="120"/>
        <w:jc w:val="both"/>
      </w:pPr>
      <w:r>
        <w:rPr>
          <w:b/>
          <w:bCs/>
          <w:sz w:val="22"/>
          <w:szCs w:val="22"/>
        </w:rPr>
        <w:t xml:space="preserve">5. Competência declaratória do Seminário. </w:t>
      </w:r>
      <w:r>
        <w:rPr>
          <w:sz w:val="22"/>
          <w:szCs w:val="22"/>
        </w:rPr>
        <w:t xml:space="preserve">Havendo dúvida sobre a existência, validade ou alcance de tratado de reconhecimento, ou sobre a regularidade de Potência com a qual se alegue relacionamento, a questão será submetida ao Seminário, que emitirá parecer conclusivo a ser homologado pela Assembleia de Grão-Mestres, prevalecendo, até a manifestação técnica, a presunção de inexistência de reconhecimento.</w:t>
      </w:r>
    </w:p>
    <w:p>
      <w:pPr>
        <w:shd w:fill="F2F2F2" w:val="clear"/>
        <w:spacing w:after="200" w:before="100"/>
        <w:jc w:val="both"/>
      </w:pPr>
      <w:r>
        <w:rPr>
          <w:b/>
          <w:bCs/>
          <w:i/>
          <w:iCs/>
          <w:sz w:val="22"/>
          <w:szCs w:val="22"/>
        </w:rPr>
        <w:t xml:space="preserve">Encaminhamento: </w:t>
      </w:r>
      <w:r>
        <w:rPr>
          <w:i/>
          <w:iCs/>
          <w:sz w:val="22"/>
          <w:szCs w:val="22"/>
        </w:rPr>
        <w:t xml:space="preserve">que a presente tese seja fixada pelo Seminário e submetida à Assembleia de Grão-Mestres para aprovação, passando a constituir norma interpretativa vinculante para todas as Confederadas quanto à matéria de reconhecimento mútuo.</w:t>
      </w:r>
    </w:p>
    <w:p>
      <w:pPr>
        <w:pBdr>
          <w:bottom w:val="single" w:color="999999" w:sz="4"/>
        </w:pBdr>
        <w:spacing w:after="200" w:before="200"/>
      </w:pPr>
    </w:p>
    <w:p>
      <w:pPr>
        <w:spacing w:after="100" w:before="240"/>
      </w:pPr>
      <w:r>
        <w:rPr>
          <w:b/>
          <w:bCs/>
          <w:color w:val="1F3864"/>
          <w:sz w:val="24"/>
          <w:szCs w:val="24"/>
        </w:rPr>
        <w:t xml:space="preserve">Encaminhamento processual conjunto (Art. 9º e 10 do Regimento Interno)</w:t>
      </w:r>
    </w:p>
    <w:p>
      <w:pPr>
        <w:spacing w:after="120"/>
        <w:jc w:val="both"/>
      </w:pPr>
      <w:r>
        <w:rPr>
          <w:sz w:val="22"/>
          <w:szCs w:val="22"/>
        </w:rPr>
        <w:t xml:space="preserve">Sugere-se que as três teses sejam:</w:t>
      </w:r>
    </w:p>
    <w:p>
      <w:pPr>
        <w:pStyle w:val="ListParagraph"/>
        <w:numPr>
          <w:ilvl w:val="0"/>
          <w:numId w:val="2"/>
        </w:numPr>
        <w:spacing w:after="100"/>
        <w:jc w:val="both"/>
      </w:pPr>
      <w:r>
        <w:rPr>
          <w:sz w:val="22"/>
          <w:szCs w:val="22"/>
        </w:rPr>
        <w:t xml:space="preserve">Distribuídas a Relator único ou a Relatores distintos, a critério do Secretário de Relações Exteriores da CMSB (Art. 10, caput);</w:t>
      </w:r>
    </w:p>
    <w:p>
      <w:pPr>
        <w:pStyle w:val="ListParagraph"/>
        <w:numPr>
          <w:ilvl w:val="0"/>
          <w:numId w:val="2"/>
        </w:numPr>
        <w:spacing w:after="100"/>
        <w:jc w:val="both"/>
      </w:pPr>
      <w:r>
        <w:rPr>
          <w:sz w:val="22"/>
          <w:szCs w:val="22"/>
        </w:rPr>
        <w:t xml:space="preserve">Expostas oralmente, no limite de 15 minutos cada (Art. 10, I);</w:t>
      </w:r>
    </w:p>
    <w:p>
      <w:pPr>
        <w:pStyle w:val="ListParagraph"/>
        <w:numPr>
          <w:ilvl w:val="0"/>
          <w:numId w:val="2"/>
        </w:numPr>
        <w:spacing w:after="100"/>
        <w:jc w:val="both"/>
      </w:pPr>
      <w:r>
        <w:rPr>
          <w:sz w:val="22"/>
          <w:szCs w:val="22"/>
        </w:rPr>
        <w:t xml:space="preserve">Submetidas a inscrição para manifestação e questionamento, com direito a réplica e tréplica (Art. 10, III e IV);</w:t>
      </w:r>
    </w:p>
    <w:p>
      <w:pPr>
        <w:pStyle w:val="ListParagraph"/>
        <w:numPr>
          <w:ilvl w:val="0"/>
          <w:numId w:val="2"/>
        </w:numPr>
        <w:spacing w:after="100"/>
        <w:jc w:val="both"/>
      </w:pPr>
      <w:r>
        <w:rPr>
          <w:sz w:val="22"/>
          <w:szCs w:val="22"/>
        </w:rPr>
        <w:t xml:space="preserve">Votadas nominalmente, por ordem alfabética das Confederadas presentes, exigindo-se maioria simples para aprovação no âmbito do Seminário (Art. 10, VI);</w:t>
      </w:r>
    </w:p>
    <w:p>
      <w:pPr>
        <w:pStyle w:val="ListParagraph"/>
        <w:numPr>
          <w:ilvl w:val="0"/>
          <w:numId w:val="2"/>
        </w:numPr>
        <w:spacing w:after="100"/>
        <w:jc w:val="both"/>
      </w:pPr>
      <w:r>
        <w:rPr>
          <w:sz w:val="22"/>
          <w:szCs w:val="22"/>
        </w:rPr>
        <w:t xml:space="preserve">Encaminhadas, uma vez aprovadas no Seminário, à Assembleia de Grão-Mestres, para deliberação final, nos termos do Art. 3º, VII, do Regimento Interno.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2026-07-10T13:40:25.757Z</dcterms:created>
  <dcterms:modified xsi:type="dcterms:W3CDTF">2026-07-10T13:40:25.770Z</dcterms:modified>
</cp:coreProperties>
</file>

<file path=docProps/custom.xml><?xml version="1.0" encoding="utf-8"?>
<Properties xmlns="http://schemas.openxmlformats.org/officeDocument/2006/custom-properties" xmlns:vt="http://schemas.openxmlformats.org/officeDocument/2006/docPropsVTypes"/>
</file>